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2E" w:rsidRDefault="005D002E" w:rsidP="005D00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002E">
        <w:rPr>
          <w:rFonts w:ascii="Times New Roman" w:hAnsi="Times New Roman" w:cs="Times New Roman"/>
          <w:b/>
          <w:sz w:val="28"/>
          <w:szCs w:val="28"/>
        </w:rPr>
        <w:t>  „</w:t>
      </w:r>
      <w:r w:rsidRPr="005D002E">
        <w:rPr>
          <w:rFonts w:ascii="Times New Roman" w:hAnsi="Times New Roman" w:cs="Times New Roman"/>
          <w:b/>
          <w:bCs/>
          <w:sz w:val="28"/>
          <w:szCs w:val="28"/>
        </w:rPr>
        <w:t xml:space="preserve">Dokumentacja geotechniczna i geologiczno-inżynierska w drogownictwie.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002E" w:rsidRPr="005D002E" w:rsidRDefault="005D002E" w:rsidP="005D00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D002E">
        <w:rPr>
          <w:rFonts w:ascii="Times New Roman" w:hAnsi="Times New Roman" w:cs="Times New Roman"/>
          <w:b/>
          <w:bCs/>
          <w:sz w:val="28"/>
          <w:szCs w:val="28"/>
        </w:rPr>
        <w:t>Aktualne wymagania prawne. Zmiany i komentarze”.</w:t>
      </w:r>
    </w:p>
    <w:p w:rsidR="005D002E" w:rsidRPr="005D002E" w:rsidRDefault="005D002E" w:rsidP="005D002E">
      <w:pPr>
        <w:rPr>
          <w:rFonts w:ascii="Times New Roman" w:hAnsi="Times New Roman" w:cs="Times New Roman"/>
          <w:b/>
          <w:bCs/>
        </w:rPr>
      </w:pPr>
    </w:p>
    <w:p w:rsidR="005D002E" w:rsidRPr="00AE28F2" w:rsidRDefault="005D002E" w:rsidP="005D002E">
      <w:pPr>
        <w:ind w:left="270"/>
        <w:rPr>
          <w:rStyle w:val="Pogrubienie"/>
          <w:rFonts w:ascii="Tahoma" w:hAnsi="Tahoma" w:cs="Tahoma"/>
          <w:sz w:val="24"/>
          <w:szCs w:val="24"/>
          <w:u w:val="single"/>
        </w:rPr>
      </w:pPr>
      <w:r w:rsidRPr="00AE28F2">
        <w:rPr>
          <w:rStyle w:val="Pogrubienie"/>
          <w:rFonts w:ascii="Tahoma" w:hAnsi="Tahoma" w:cs="Tahoma"/>
          <w:bCs w:val="0"/>
          <w:sz w:val="24"/>
          <w:szCs w:val="24"/>
          <w:u w:val="single"/>
        </w:rPr>
        <w:t>Szczegółowy program s</w:t>
      </w:r>
      <w:r w:rsidR="00AE28F2" w:rsidRPr="00AE28F2">
        <w:rPr>
          <w:rStyle w:val="Pogrubienie"/>
          <w:rFonts w:ascii="Tahoma" w:hAnsi="Tahoma" w:cs="Tahoma"/>
          <w:bCs w:val="0"/>
          <w:sz w:val="24"/>
          <w:szCs w:val="24"/>
          <w:u w:val="single"/>
        </w:rPr>
        <w:t>eminarium</w:t>
      </w:r>
      <w:r w:rsidRPr="00AE28F2">
        <w:rPr>
          <w:rStyle w:val="Pogrubienie"/>
          <w:rFonts w:ascii="Tahoma" w:hAnsi="Tahoma" w:cs="Tahoma"/>
          <w:bCs w:val="0"/>
          <w:sz w:val="24"/>
          <w:szCs w:val="24"/>
          <w:u w:val="single"/>
        </w:rPr>
        <w:t>:</w:t>
      </w:r>
    </w:p>
    <w:p w:rsidR="005D002E" w:rsidRPr="005D002E" w:rsidRDefault="005D002E" w:rsidP="005D002E">
      <w:pPr>
        <w:ind w:left="270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5D002E" w:rsidRPr="0032172B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obowiązki Inwestora i/lub projektanta,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planowanie badań podłoża,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etapy badań podłoża,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rozmieszczanie i głębokość punktów badawczych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kategorie geotechniczne,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kategorie metod pobierania prób gruntów,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badania polowe gruntów,</w:t>
      </w:r>
    </w:p>
    <w:p w:rsidR="005D002E" w:rsidRPr="0032172B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zakres badań i dokumentacji geotechnicznych dla obiektów budowlanych </w:t>
      </w:r>
      <w:r w:rsid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 świetle </w:t>
      </w:r>
      <w:r w:rsidRP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wymagań określonych w nowych przepisach wykonawczych, </w:t>
      </w:r>
      <w:r w:rsid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                 a szczególnie</w:t>
      </w:r>
      <w:r w:rsidRP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</w:p>
    <w:p w:rsidR="005D002E" w:rsidRPr="0032172B" w:rsidRDefault="005D002E" w:rsidP="00B62D3D">
      <w:pPr>
        <w:pStyle w:val="Akapitzlist"/>
        <w:numPr>
          <w:ilvl w:val="0"/>
          <w:numId w:val="7"/>
        </w:numPr>
        <w:ind w:left="1418" w:hanging="142"/>
        <w:jc w:val="both"/>
        <w:rPr>
          <w:rStyle w:val="Pogrubienie"/>
          <w:rFonts w:ascii="Times New Roman" w:hAnsi="Times New Roman"/>
          <w:b w:val="0"/>
          <w:bCs w:val="0"/>
          <w:i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Roz. Min. </w:t>
      </w:r>
      <w:proofErr w:type="spellStart"/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Transp</w:t>
      </w:r>
      <w:proofErr w:type="spellEnd"/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., Bud. i Gosp. Morskiej w sprawie ustalania  </w:t>
      </w:r>
      <w:r w:rsidRPr="0032172B">
        <w:rPr>
          <w:rStyle w:val="Pogrubienie"/>
          <w:rFonts w:ascii="Times New Roman" w:hAnsi="Times New Roman"/>
          <w:b w:val="0"/>
          <w:bCs w:val="0"/>
          <w:i/>
          <w:sz w:val="24"/>
          <w:szCs w:val="24"/>
        </w:rPr>
        <w:t>geotec</w:t>
      </w:r>
      <w:r w:rsidR="00AE28F2">
        <w:rPr>
          <w:rStyle w:val="Pogrubienie"/>
          <w:rFonts w:ascii="Times New Roman" w:hAnsi="Times New Roman"/>
          <w:b w:val="0"/>
          <w:bCs w:val="0"/>
          <w:i/>
          <w:sz w:val="24"/>
          <w:szCs w:val="24"/>
        </w:rPr>
        <w:t xml:space="preserve">hnicznych warunków posada wiania </w:t>
      </w:r>
      <w:r w:rsidRPr="0032172B">
        <w:rPr>
          <w:rStyle w:val="Pogrubienie"/>
          <w:rFonts w:ascii="Times New Roman" w:hAnsi="Times New Roman"/>
          <w:b w:val="0"/>
          <w:bCs w:val="0"/>
          <w:i/>
          <w:sz w:val="24"/>
          <w:szCs w:val="24"/>
        </w:rPr>
        <w:t xml:space="preserve">obiektów budowlanych </w:t>
      </w:r>
      <w:r w:rsidR="00B62D3D">
        <w:rPr>
          <w:rStyle w:val="Pogrubienie"/>
          <w:rFonts w:ascii="Times New Roman" w:hAnsi="Times New Roman"/>
          <w:b w:val="0"/>
          <w:bCs w:val="0"/>
          <w:i/>
          <w:sz w:val="24"/>
          <w:szCs w:val="24"/>
        </w:rPr>
        <w:t xml:space="preserve">      </w:t>
      </w:r>
      <w:r w:rsidRPr="0032172B">
        <w:rPr>
          <w:rStyle w:val="Pogrubienie"/>
          <w:rFonts w:ascii="Times New Roman" w:hAnsi="Times New Roman"/>
          <w:b w:val="0"/>
          <w:bCs w:val="0"/>
          <w:i/>
          <w:sz w:val="24"/>
          <w:szCs w:val="24"/>
        </w:rPr>
        <w:t xml:space="preserve">z dnia </w:t>
      </w:r>
      <w:r w:rsidRP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25.04.2012r.,</w:t>
      </w:r>
    </w:p>
    <w:p w:rsidR="005D002E" w:rsidRPr="005D002E" w:rsidRDefault="00AE28F2" w:rsidP="00B62D3D">
      <w:pPr>
        <w:pStyle w:val="Akapitzlist"/>
        <w:numPr>
          <w:ilvl w:val="0"/>
          <w:numId w:val="7"/>
        </w:numPr>
        <w:ind w:left="1418" w:hanging="142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Ustawy „</w:t>
      </w:r>
      <w:r w:rsidR="005D002E"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Prawo geologiczne i górnicze" ,</w:t>
      </w:r>
    </w:p>
    <w:p w:rsidR="005D002E" w:rsidRPr="0032172B" w:rsidRDefault="005D002E" w:rsidP="00B62D3D">
      <w:pPr>
        <w:pStyle w:val="Akapitzlist"/>
        <w:numPr>
          <w:ilvl w:val="0"/>
          <w:numId w:val="7"/>
        </w:numPr>
        <w:ind w:left="1418" w:hanging="142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</w:t>
      </w:r>
      <w:r w:rsidR="00AE28F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</w:t>
      </w: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. </w:t>
      </w:r>
      <w:proofErr w:type="spellStart"/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Min.Środ</w:t>
      </w:r>
      <w:proofErr w:type="spellEnd"/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. w sprawie </w:t>
      </w:r>
      <w:r w:rsidR="00AE28F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dokumentacji hydroge</w:t>
      </w:r>
      <w:r w:rsidR="00B62D3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ologicznych </w:t>
      </w: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i dokumentacji </w:t>
      </w:r>
      <w:r w:rsidRP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geologiczno-inżynierskich,</w:t>
      </w:r>
    </w:p>
    <w:p w:rsidR="005D002E" w:rsidRPr="0032172B" w:rsidRDefault="00AE28F2" w:rsidP="00B62D3D">
      <w:pPr>
        <w:pStyle w:val="Akapitzlist"/>
        <w:numPr>
          <w:ilvl w:val="0"/>
          <w:numId w:val="7"/>
        </w:numPr>
        <w:ind w:left="1418" w:hanging="142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</w:t>
      </w:r>
      <w:r w:rsidR="005D002E"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. dot. warunków technicznych jakim powinny odpowiadać drogi publiczne i ich </w:t>
      </w:r>
      <w:r w:rsid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D002E" w:rsidRP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usytuowanie,</w:t>
      </w:r>
    </w:p>
    <w:p w:rsidR="005D002E" w:rsidRPr="005D002E" w:rsidRDefault="005D002E" w:rsidP="00B62D3D">
      <w:pPr>
        <w:pStyle w:val="Akapitzlist"/>
        <w:numPr>
          <w:ilvl w:val="0"/>
          <w:numId w:val="7"/>
        </w:numPr>
        <w:ind w:left="1418" w:hanging="142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normie EUROKOD 7-1 i -2,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ranga i znaczenie przywołania w Rozporządzeniu zapisów </w:t>
      </w:r>
      <w:proofErr w:type="spellStart"/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Eurokodu</w:t>
      </w:r>
      <w:proofErr w:type="spellEnd"/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7,</w:t>
      </w:r>
    </w:p>
    <w:p w:rsidR="005D002E" w:rsidRPr="005D002E" w:rsidRDefault="00C10F39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badania kategorii I</w:t>
      </w:r>
      <w:r w:rsidR="005D002E"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, </w:t>
      </w:r>
    </w:p>
    <w:p w:rsidR="005D002E" w:rsidRPr="005D002E" w:rsidRDefault="00C10F39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badania kategorii II</w:t>
      </w:r>
      <w:r w:rsidR="005D002E"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 zakres badań, opis zakresu dokumentacji,</w:t>
      </w:r>
    </w:p>
    <w:p w:rsidR="005D002E" w:rsidRPr="005D002E" w:rsidRDefault="00C10F39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badania kategorii III</w:t>
      </w:r>
      <w:r w:rsidR="005D002E"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: program badań, wykonywanie badań, zasady sporządzania 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dokumentacji,</w:t>
      </w:r>
    </w:p>
    <w:p w:rsidR="005D002E" w:rsidRPr="00AE28F2" w:rsidRDefault="005D002E" w:rsidP="00AE28F2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opinia geotechniczna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, dokumentacja geotechniczna, </w:t>
      </w: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projekt geotechniczny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E28F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i </w:t>
      </w:r>
      <w:r w:rsidR="00C10F39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dokumentacja geologiczno – </w:t>
      </w:r>
      <w:r w:rsidRPr="00AE28F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inżynierska</w:t>
      </w:r>
      <w:r w:rsidR="00BA24CF" w:rsidRPr="00AE28F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– podstawowe definicje i</w:t>
      </w:r>
      <w:r w:rsidRPr="00AE28F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potrzebne uprawnienia,</w:t>
      </w:r>
    </w:p>
    <w:p w:rsidR="00BA24CF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zestawienie i omówienie koniecznych uprawnień do sporządzania poszczególnych </w:t>
      </w:r>
      <w:r w:rsidR="00BA24C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5D002E" w:rsidRPr="005D002E" w:rsidRDefault="005D002E" w:rsidP="0032172B">
      <w:pPr>
        <w:pStyle w:val="Akapitzlist"/>
        <w:ind w:left="99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dokumentacji,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ogólny podział posadowień w budownictwie drogowym,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zatwierdzanie dokumentacji przez organ,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ustalanie wartości wyprowadzonych, charak</w:t>
      </w:r>
      <w:r w:rsidR="00C10F39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terystycznych i obliczeniowych –  </w:t>
      </w: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zasady,</w:t>
      </w:r>
    </w:p>
    <w:p w:rsidR="005D002E" w:rsidRPr="0032172B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likwidacja grup nośności G1 – G4 poprzez wycofanie zał. 4 i zmiany w par. 143</w:t>
      </w:r>
      <w:r w:rsidR="00AE28F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   </w:t>
      </w: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i 144 </w:t>
      </w:r>
      <w:r w:rsidR="00BA24C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E28F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</w:t>
      </w:r>
      <w:r w:rsidRP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 drogowego,</w:t>
      </w:r>
    </w:p>
    <w:p w:rsidR="005D002E" w:rsidRPr="0032172B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4 podstawowe wzory do obliczania stanów granicznych STR lub I st. gr. (wg PN-81/B-</w:t>
      </w:r>
      <w:r w:rsidR="00BA24C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03020),</w:t>
      </w:r>
    </w:p>
    <w:p w:rsidR="005D002E" w:rsidRP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geotechniczny odbiór podłoża gruntowego - procedury i zasady,</w:t>
      </w:r>
    </w:p>
    <w:p w:rsidR="005D002E" w:rsidRPr="00AE28F2" w:rsidRDefault="005D002E" w:rsidP="00AE28F2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poprawność przygotowania inwestycji drogowych a rozliczenia inwestycji unijnych przez </w:t>
      </w:r>
      <w:r w:rsidR="00BA24C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E28F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CUPT – zasady i błędy,</w:t>
      </w:r>
    </w:p>
    <w:p w:rsidR="005D002E" w:rsidRDefault="005D002E" w:rsidP="0032172B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istotne zmiany w</w:t>
      </w:r>
      <w:r w:rsidR="00BA24C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przepisach prawa z komentarzem,</w:t>
      </w:r>
    </w:p>
    <w:p w:rsidR="00BA24CF" w:rsidRPr="00AE28F2" w:rsidRDefault="00AE28F2" w:rsidP="00AE28F2">
      <w:pPr>
        <w:pStyle w:val="Akapitzlist"/>
        <w:numPr>
          <w:ilvl w:val="0"/>
          <w:numId w:val="4"/>
        </w:numPr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A24CF" w:rsidRP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przykłady błędów najczęściej występujących w dokumentacjach geotechnicznych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BA24CF" w:rsidRP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i  </w:t>
      </w:r>
      <w:r w:rsidR="00BA24CF" w:rsidRPr="00AE28F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geologiczno-inżynierskich i ich możliwe konsekwencje,</w:t>
      </w:r>
    </w:p>
    <w:p w:rsidR="00BA24CF" w:rsidRPr="0032172B" w:rsidRDefault="00BA24CF" w:rsidP="0032172B">
      <w:pPr>
        <w:pStyle w:val="Akapitzlist"/>
        <w:numPr>
          <w:ilvl w:val="0"/>
          <w:numId w:val="4"/>
        </w:numPr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217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przykłady błędnych dokumentacji i wybranych sytuacji awaryjnych.</w:t>
      </w:r>
    </w:p>
    <w:p w:rsidR="00BA24CF" w:rsidRDefault="00BA24CF" w:rsidP="00BA24CF">
      <w:pPr>
        <w:pStyle w:val="Bezodstpw"/>
        <w:framePr w:wrap="around"/>
        <w:rPr>
          <w:rFonts w:ascii="Arial" w:eastAsiaTheme="majorEastAsia" w:hAnsi="Arial" w:cs="Arial"/>
          <w:lang w:eastAsia="pl-PL"/>
        </w:rPr>
      </w:pPr>
    </w:p>
    <w:p w:rsidR="00BA24CF" w:rsidRPr="005D002E" w:rsidRDefault="00BA24CF" w:rsidP="005D002E">
      <w:pPr>
        <w:ind w:left="27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002E" w:rsidRPr="005D002E" w:rsidRDefault="005D002E" w:rsidP="005D002E">
      <w:pPr>
        <w:ind w:left="27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002E" w:rsidRDefault="005D002E" w:rsidP="00553307">
      <w:pPr>
        <w:ind w:left="27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5D002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Do tego tematu będą przygotowane materiały szkoleniowe w formie opracowania z załączonymi przykładami, tabelami i nomogramami w obj. ok. 100 str.</w:t>
      </w:r>
      <w:bookmarkStart w:id="0" w:name="_GoBack"/>
      <w:bookmarkEnd w:id="0"/>
    </w:p>
    <w:p w:rsidR="00BE4832" w:rsidRPr="005D002E" w:rsidRDefault="00BE4832" w:rsidP="00BE4832">
      <w:pPr>
        <w:ind w:left="27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obowiązki Inwestora i/lub projektanta,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planowanie badań podłoża oraz etapy badań podłoża, rozmieszczanie i głębokość  punktów badawczych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kategorie geotechniczne,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kategorie metod pobierania prób gruntów, badania polowe gruntów,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zakres badań i dokumentacji geotechnicznych dla obiektów budowlanych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 świetle wymagań określonych w nowych przepisa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ch wykonawczych,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ranga i znaczenie przywołania w Rozporządzeniu zapisów </w:t>
      </w:r>
      <w:proofErr w:type="spellStart"/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Eurokodu</w:t>
      </w:r>
      <w:proofErr w:type="spellEnd"/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7,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badania kategorii I</w:t>
      </w: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C10F39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badania kategorii II</w:t>
      </w: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 zakres badań, opis zakresu dokumentacji,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10F39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badania kategorii III</w:t>
      </w: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 program badań, wykonywanie badań, zasady sporządzania dokumentacji,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opinia geotechniczna, dokumentacja geotechniczna, projekt geotechniczny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i </w:t>
      </w:r>
      <w:r w:rsidR="00C10F39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dokumentacja geologiczno – </w:t>
      </w: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inżynierska – podstawowe definicje i potrzebne uprawnienia,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zestawienie i omówienie koniecznych uprawnień do sporządzania poszczególnych  dokumentacji,</w:t>
      </w:r>
    </w:p>
    <w:p w:rsidR="005E62DA" w:rsidRPr="005E62DA" w:rsidRDefault="005E62DA" w:rsidP="005E62DA">
      <w:pPr>
        <w:pStyle w:val="Akapitzlist"/>
        <w:ind w:left="990"/>
        <w:jc w:val="right"/>
        <w:rPr>
          <w:rStyle w:val="Pogrubienie"/>
          <w:rFonts w:ascii="Times New Roman" w:hAnsi="Times New Roman"/>
          <w:b w:val="0"/>
          <w:bCs w:val="0"/>
          <w:i/>
        </w:rPr>
      </w:pPr>
      <w:proofErr w:type="spellStart"/>
      <w:r w:rsidRPr="005E62DA">
        <w:rPr>
          <w:rStyle w:val="Pogrubienie"/>
          <w:rFonts w:ascii="Times New Roman" w:hAnsi="Times New Roman"/>
          <w:b w:val="0"/>
          <w:bCs w:val="0"/>
          <w:i/>
        </w:rPr>
        <w:t>Jermłowicz</w:t>
      </w:r>
      <w:proofErr w:type="spellEnd"/>
    </w:p>
    <w:p w:rsidR="00BE4832" w:rsidRDefault="00BE4832" w:rsidP="00BE4832">
      <w:pPr>
        <w:pStyle w:val="Akapitzlist"/>
        <w:numPr>
          <w:ilvl w:val="0"/>
          <w:numId w:val="3"/>
        </w:numPr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…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ogólny podział posadowień w budownictwie drogowym,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zatwierdzanie dokumentacji przez organ,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ustalanie wartości wyprowadzonych, charakterystycznych i obliczeniowych -zasady,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likwidacja grup nośności G1 – G4 poprzez wycofanie zał. 4 i zmiany w par. 143</w:t>
      </w:r>
      <w:r w:rsidR="00C10F39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   </w:t>
      </w: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i 144  </w:t>
      </w:r>
      <w:proofErr w:type="spellStart"/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</w:t>
      </w:r>
      <w:proofErr w:type="spellEnd"/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 drogowego,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4 podstawowe wzory do obliczania stanów granicznych STR lub I st. gr. (wg PN-81/B- 03020 ),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geotechniczny odbiór podłoża gruntowego - procedury i zasady,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poprawność przygotowania inwestycji drogowych a rozliczenia inwestycji unijnych przez  CUPT – zasady i błędy,</w:t>
      </w:r>
    </w:p>
    <w:p w:rsid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istotne zmiany w przepisach prawa z komentarzem,</w:t>
      </w:r>
    </w:p>
    <w:p w:rsidR="00BE4832" w:rsidRP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przykłady błędów najczęściej występujących w dokumentacjach geotechnicznych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  geologiczno-inżynierskich i ich możliwe konsekwencje,</w:t>
      </w:r>
    </w:p>
    <w:p w:rsidR="00BE4832" w:rsidRPr="00BE4832" w:rsidRDefault="00BE4832" w:rsidP="00BE4832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E48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przykłady błędnych dokumentacji i wybranych sytuacji awaryjnych.</w:t>
      </w:r>
    </w:p>
    <w:p w:rsidR="005E62DA" w:rsidRPr="005E62DA" w:rsidRDefault="005E62DA" w:rsidP="005E62DA">
      <w:pPr>
        <w:pStyle w:val="Akapitzlist"/>
        <w:numPr>
          <w:ilvl w:val="0"/>
          <w:numId w:val="3"/>
        </w:numPr>
        <w:jc w:val="right"/>
        <w:rPr>
          <w:rStyle w:val="Pogrubienie"/>
          <w:rFonts w:ascii="Times New Roman" w:hAnsi="Times New Roman"/>
          <w:b w:val="0"/>
          <w:bCs w:val="0"/>
          <w:i/>
        </w:rPr>
      </w:pPr>
      <w:proofErr w:type="spellStart"/>
      <w:r w:rsidRPr="005E62DA">
        <w:rPr>
          <w:rStyle w:val="Pogrubienie"/>
          <w:rFonts w:ascii="Times New Roman" w:hAnsi="Times New Roman"/>
          <w:b w:val="0"/>
          <w:bCs w:val="0"/>
          <w:i/>
        </w:rPr>
        <w:t>Jermłowicz</w:t>
      </w:r>
      <w:proofErr w:type="spellEnd"/>
    </w:p>
    <w:p w:rsidR="00BE4832" w:rsidRPr="00553307" w:rsidRDefault="00BE4832" w:rsidP="00553307">
      <w:pPr>
        <w:ind w:left="270"/>
        <w:rPr>
          <w:rFonts w:ascii="Times New Roman" w:hAnsi="Times New Roman" w:cs="Times New Roman"/>
          <w:sz w:val="24"/>
          <w:szCs w:val="24"/>
        </w:rPr>
      </w:pPr>
    </w:p>
    <w:sectPr w:rsidR="00BE4832" w:rsidRPr="00553307" w:rsidSect="00D0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3360"/>
    <w:multiLevelType w:val="hybridMultilevel"/>
    <w:tmpl w:val="52980C58"/>
    <w:lvl w:ilvl="0" w:tplc="C91CC1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31F21"/>
    <w:multiLevelType w:val="hybridMultilevel"/>
    <w:tmpl w:val="C0B0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2721C"/>
    <w:multiLevelType w:val="hybridMultilevel"/>
    <w:tmpl w:val="DC8C9F1C"/>
    <w:lvl w:ilvl="0" w:tplc="0415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F0631A7"/>
    <w:multiLevelType w:val="hybridMultilevel"/>
    <w:tmpl w:val="067625A2"/>
    <w:lvl w:ilvl="0" w:tplc="035C4F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15685"/>
    <w:multiLevelType w:val="hybridMultilevel"/>
    <w:tmpl w:val="C5BEA816"/>
    <w:lvl w:ilvl="0" w:tplc="0415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7BB6519B"/>
    <w:multiLevelType w:val="hybridMultilevel"/>
    <w:tmpl w:val="F0E06552"/>
    <w:lvl w:ilvl="0" w:tplc="C91CC170">
      <w:start w:val="1"/>
      <w:numFmt w:val="bullet"/>
      <w:lvlText w:val="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8577A"/>
    <w:rsid w:val="0032172B"/>
    <w:rsid w:val="003E7F5E"/>
    <w:rsid w:val="005025B4"/>
    <w:rsid w:val="00531D04"/>
    <w:rsid w:val="00553307"/>
    <w:rsid w:val="005B086E"/>
    <w:rsid w:val="005D002E"/>
    <w:rsid w:val="005E62DA"/>
    <w:rsid w:val="006178A0"/>
    <w:rsid w:val="006F71C9"/>
    <w:rsid w:val="0078577A"/>
    <w:rsid w:val="009652BA"/>
    <w:rsid w:val="00AE28F2"/>
    <w:rsid w:val="00B62D3D"/>
    <w:rsid w:val="00BA24CF"/>
    <w:rsid w:val="00BE4832"/>
    <w:rsid w:val="00C10F39"/>
    <w:rsid w:val="00C40FCC"/>
    <w:rsid w:val="00D00799"/>
    <w:rsid w:val="00FD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02E"/>
    <w:pPr>
      <w:spacing w:after="0" w:line="240" w:lineRule="auto"/>
    </w:pPr>
    <w:rPr>
      <w:rFonts w:ascii="Calibri" w:eastAsiaTheme="minorHAnsi" w:hAnsi="Calibri" w:cs="Calibri"/>
    </w:rPr>
  </w:style>
  <w:style w:type="paragraph" w:styleId="Nagwek1">
    <w:name w:val="heading 1"/>
    <w:aliases w:val="normalny"/>
    <w:basedOn w:val="Normalny"/>
    <w:next w:val="Normalny"/>
    <w:link w:val="Nagwek1Znak"/>
    <w:uiPriority w:val="9"/>
    <w:qFormat/>
    <w:rsid w:val="005025B4"/>
    <w:pPr>
      <w:keepNext/>
      <w:keepLines/>
      <w:framePr w:wrap="notBeside" w:hAnchor="text"/>
      <w:spacing w:before="48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25B4"/>
    <w:pPr>
      <w:keepNext/>
      <w:keepLines/>
      <w:framePr w:wrap="notBeside" w:hAnchor="text"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25B4"/>
    <w:pPr>
      <w:keepNext/>
      <w:keepLines/>
      <w:framePr w:wrap="notBeside" w:hAnchor="text"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25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ormalny Znak"/>
    <w:basedOn w:val="Domylnaczcionkaakapitu"/>
    <w:link w:val="Nagwek1"/>
    <w:uiPriority w:val="9"/>
    <w:rsid w:val="005025B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025B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25B4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25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5025B4"/>
    <w:pPr>
      <w:framePr w:wrap="around" w:vAnchor="text" w:hAnchor="text" w:y="1"/>
      <w:spacing w:after="0" w:line="240" w:lineRule="auto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5025B4"/>
    <w:pPr>
      <w:ind w:left="720"/>
      <w:contextualSpacing/>
    </w:pPr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5D0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02E"/>
    <w:pPr>
      <w:spacing w:after="0" w:line="240" w:lineRule="auto"/>
    </w:pPr>
    <w:rPr>
      <w:rFonts w:ascii="Calibri" w:eastAsiaTheme="minorHAnsi" w:hAnsi="Calibri" w:cs="Calibri"/>
    </w:rPr>
  </w:style>
  <w:style w:type="paragraph" w:styleId="Nagwek1">
    <w:name w:val="heading 1"/>
    <w:aliases w:val="normalny"/>
    <w:basedOn w:val="Normalny"/>
    <w:next w:val="Normalny"/>
    <w:link w:val="Nagwek1Znak"/>
    <w:uiPriority w:val="9"/>
    <w:qFormat/>
    <w:rsid w:val="005025B4"/>
    <w:pPr>
      <w:keepNext/>
      <w:keepLines/>
      <w:framePr w:wrap="notBeside" w:hAnchor="text"/>
      <w:spacing w:before="48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25B4"/>
    <w:pPr>
      <w:keepNext/>
      <w:keepLines/>
      <w:framePr w:wrap="notBeside" w:hAnchor="text"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25B4"/>
    <w:pPr>
      <w:keepNext/>
      <w:keepLines/>
      <w:framePr w:wrap="notBeside" w:hAnchor="text"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25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ormalny Znak"/>
    <w:basedOn w:val="Domylnaczcionkaakapitu"/>
    <w:link w:val="Nagwek1"/>
    <w:uiPriority w:val="9"/>
    <w:rsid w:val="005025B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025B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25B4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25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5025B4"/>
    <w:pPr>
      <w:framePr w:wrap="around" w:vAnchor="text" w:hAnchor="text" w:y="1"/>
      <w:spacing w:after="0" w:line="240" w:lineRule="auto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5025B4"/>
    <w:pPr>
      <w:ind w:left="720"/>
      <w:contextualSpacing/>
    </w:pPr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5D0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Zdzislaw</cp:lastModifiedBy>
  <cp:revision>6</cp:revision>
  <dcterms:created xsi:type="dcterms:W3CDTF">2018-03-01T09:21:00Z</dcterms:created>
  <dcterms:modified xsi:type="dcterms:W3CDTF">2018-03-04T08:56:00Z</dcterms:modified>
</cp:coreProperties>
</file>